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Söderköping kommunfullmäktige</w:t>
      </w:r>
    </w:p>
    <w:p>
      <w:pPr>
        <w:pStyle w:val="Heading1"/>
      </w:pPr>
      <w:r>
        <w:t xml:space="preserve">Fler idrotts- och fritidsaktiviteter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Söderköping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i Söderköping behöver stärkas för att förebygga utanförskap. Ungdomar efterfrågar fler aktiviteter enligt kommunens ungdomsenkät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Söderköping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investering i idrottshall och skatepark prioriteras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föreningsbidraget ökas med 15 procent.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idrottsföreningar formaliseras.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deltagandet bland unga följs upp årligen.</w:t>
      </w:r>
    </w:p>
    <w:p>
      <w:pPr>
        <w:spacing w:before="360"/>
      </w:pPr>
    </w:p>
    <w:p>
      <w:r>
        <w:t xml:space="preserve">Söderköping,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Söderköping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2026-06-06T01:48:31.410Z</dcterms:created>
  <dcterms:modified xsi:type="dcterms:W3CDTF">2026-06-06T01:48:31.410Z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